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Name"/>
      </w:pPr>
      <w:r>
        <w:t>○岐阜大学外国人研究者受入れ規程</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tblGrid>
      <w:tr>
        <w:tc>
          <w:tcPr>
            <w:tcW w:w="0" w:type="auto"/>
            <w:tcBorders>
              <w:top w:val="single" w:sz="6" w:space="0" w:color="FFFFFF"/>
              <w:bottom w:val="single" w:sz="6" w:space="0" w:color="FFFFFF"/>
            </w:tcBorders>
            <w:vAlign w:val="center"/>
            <w:hideMark/>
          </w:tcPr>
          <w:p>
            <w:pPr>
              <w:jc w:val="right"/>
            </w:pPr>
            <w:r>
              <w:t>(平成19年10月1日規程第59号)</w:t>
            </w:r>
          </w:p>
        </w:tc>
      </w:tr>
    </w:tbl>
    <w:p>
      <w:pPr>
        <w:rPr>
          <w:vanish/>
        </w:rPr>
      </w:pPr>
      <w:r>
        <w:t/>
      </w:r>
    </w:p>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tblGrid>
      <w:tr>
        <w:tc>
          <w:tcPr>
            <w:tcW w:w="0" w:type="auto"/>
            <w:tcBorders>
              <w:top w:val="single" w:sz="6" w:space="0" w:color="FFFFFF"/>
              <w:bottom w:val="single" w:sz="6" w:space="0" w:color="FFFFFF"/>
            </w:tcBorders>
            <w:vAlign w:val="center"/>
            <w:hideMark/>
          </w:tcPr>
          <w:tbl>
            <w:tblPr>
              <w:tblW w:w="0" w:type="auto"/>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gridCol/>
              <w:gridCol/>
            </w:tblGrid>
            <w:tr>
              <w:tc>
                <w:tcPr>
                  <w:tcW w:w="750" w:type="dxa"/>
                  <w:vMerge w:val="restart"/>
                  <w:tcBorders>
                    <w:top w:val="single" w:sz="6" w:space="0" w:color="FFFFFF"/>
                    <w:left w:val="single" w:sz="6" w:space="0" w:color="FFFFFF"/>
                    <w:bottom w:val="single" w:sz="6" w:space="0" w:color="FFFFFF"/>
                    <w:right w:val="single" w:sz="6" w:space="0" w:color="FFFFFF"/>
                  </w:tcBorders>
                  <w:hideMark/>
                </w:tcPr>
                <w:p>
                  <w:pPr>
                    <w:pStyle w:val="historyInfo"/>
                    <w:jc w:val="right"/>
                  </w:pPr>
                  <w:r>
                    <w:rPr>
                      <w:rStyle w:val="histTitle"/>
                    </w:rPr>
                    <w:t>改正</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平成20年4月1日</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平成22年4月1日</w:t>
                  </w:r>
                </w:p>
              </w:tc>
            </w:tr>
            <w:tr>
              <w:tc>
                <w:tcPr>
                  <w:tcW w:w="0" w:type="auto"/>
                  <w:vMerge/>
                  <w:tcBorders>
                    <w:top w:val="single" w:sz="6" w:space="0" w:color="FFFFFF"/>
                    <w:left w:val="single" w:sz="6" w:space="0" w:color="FFFFFF"/>
                    <w:bottom w:val="single" w:sz="6" w:space="0" w:color="FFFFFF"/>
                    <w:right w:val="single" w:sz="6" w:space="0" w:color="FFFFFF"/>
                  </w:tcBorders>
                  <w:vAlign w:val="center"/>
                  <w:hideMark/>
                </w:tcPr>
                <w:p>
                  <w:r>
                    <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平成23年1月1日</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平成24年8月1日</w:t>
                  </w:r>
                </w:p>
              </w:tc>
            </w:tr>
            <w:tr>
              <w:tc>
                <w:tcPr>
                  <w:tcW w:w="0" w:type="auto"/>
                  <w:vMerge/>
                  <w:tcBorders>
                    <w:top w:val="single" w:sz="6" w:space="0" w:color="FFFFFF"/>
                    <w:left w:val="single" w:sz="6" w:space="0" w:color="FFFFFF"/>
                    <w:bottom w:val="single" w:sz="6" w:space="0" w:color="FFFFFF"/>
                    <w:right w:val="single" w:sz="6" w:space="0" w:color="FFFFFF"/>
                  </w:tcBorders>
                  <w:vAlign w:val="center"/>
                  <w:hideMark/>
                </w:tcPr>
                <w:p>
                  <w:r>
                    <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平成27年4月1日</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平成27年6月1日</w:t>
                  </w:r>
                </w:p>
              </w:tc>
            </w:tr>
            <w:tr>
              <w:tc>
                <w:tcPr>
                  <w:tcW w:w="0" w:type="auto"/>
                  <w:vMerge/>
                  <w:tcBorders>
                    <w:top w:val="single" w:sz="6" w:space="0" w:color="FFFFFF"/>
                    <w:left w:val="single" w:sz="6" w:space="0" w:color="FFFFFF"/>
                    <w:bottom w:val="single" w:sz="6" w:space="0" w:color="FFFFFF"/>
                    <w:right w:val="single" w:sz="6" w:space="0" w:color="FFFFFF"/>
                  </w:tcBorders>
                  <w:vAlign w:val="center"/>
                  <w:hideMark/>
                </w:tcPr>
                <w:p>
                  <w:r>
                    <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平成29年4月1日</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平成30年4月1日</w:t>
                  </w:r>
                </w:p>
              </w:tc>
            </w:tr>
            <w:tr>
              <w:tc>
                <w:tcPr>
                  <w:tcW w:w="0" w:type="auto"/>
                  <w:vMerge/>
                  <w:tcBorders>
                    <w:top w:val="single" w:sz="6" w:space="0" w:color="FFFFFF"/>
                    <w:left w:val="single" w:sz="6" w:space="0" w:color="FFFFFF"/>
                    <w:bottom w:val="single" w:sz="6" w:space="0" w:color="FFFFFF"/>
                    <w:right w:val="single" w:sz="6" w:space="0" w:color="FFFFFF"/>
                  </w:tcBorders>
                  <w:vAlign w:val="center"/>
                  <w:hideMark/>
                </w:tcPr>
                <w:p>
                  <w:r>
                    <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平成31年4月1日岐阜大学規程第61号</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令和2年4月1日岐大規程第49号</w:t>
                  </w:r>
                </w:p>
              </w:tc>
            </w:tr>
            <w:tr>
              <w:tc>
                <w:tcPr>
                  <w:tcW w:w="0" w:type="auto"/>
                  <w:vMerge/>
                  <w:tcBorders>
                    <w:top w:val="single" w:sz="6" w:space="0" w:color="FFFFFF"/>
                    <w:left w:val="single" w:sz="6" w:space="0" w:color="FFFFFF"/>
                    <w:bottom w:val="single" w:sz="6" w:space="0" w:color="FFFFFF"/>
                    <w:right w:val="single" w:sz="6" w:space="0" w:color="FFFFFF"/>
                  </w:tcBorders>
                  <w:vAlign w:val="center"/>
                  <w:hideMark/>
                </w:tcPr>
                <w:p>
                  <w:r>
                    <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令和3年1月1日岐大規程第121号</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令和3年3月19日岐大規程第145号</w:t>
                  </w:r>
                </w:p>
              </w:tc>
            </w:tr>
            <w:tr>
              <w:tc>
                <w:tcPr>
                  <w:tcW w:w="0" w:type="auto"/>
                  <w:vMerge/>
                  <w:tcBorders>
                    <w:top w:val="single" w:sz="6" w:space="0" w:color="FFFFFF"/>
                    <w:left w:val="single" w:sz="6" w:space="0" w:color="FFFFFF"/>
                    <w:bottom w:val="single" w:sz="6" w:space="0" w:color="FFFFFF"/>
                    <w:right w:val="single" w:sz="6" w:space="0" w:color="FFFFFF"/>
                  </w:tcBorders>
                  <w:vAlign w:val="center"/>
                  <w:hideMark/>
                </w:tcPr>
                <w:p>
                  <w:r>
                    <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令和4年3月28日岐大規程第66号</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令和5年11月30日岐大規程第19号</w:t>
                  </w:r>
                </w:p>
              </w:tc>
            </w:tr>
            <w:tr>
              <w:tc>
                <w:tcPr>
                  <w:tcW w:w="0" w:type="auto"/>
                  <w:vMerge/>
                  <w:tcBorders>
                    <w:top w:val="single" w:sz="6" w:space="0" w:color="FFFFFF"/>
                    <w:left w:val="single" w:sz="6" w:space="0" w:color="FFFFFF"/>
                    <w:bottom w:val="single" w:sz="6" w:space="0" w:color="FFFFFF"/>
                    <w:right w:val="single" w:sz="6" w:space="0" w:color="FFFFFF"/>
                  </w:tcBorders>
                  <w:vAlign w:val="center"/>
                  <w:hideMark/>
                </w:tcPr>
                <w:p>
                  <w:r>
                    <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令和6年3月28日岐大規則第60号</w:t>
                  </w:r>
                </w:p>
              </w:tc>
            </w:tr>
          </w:tbl>
          <w:p>
            <w:pPr>
              <w:rPr>
                <w:vanish/>
              </w:rPr>
            </w:pPr>
            <w:r>
              <w:t/>
            </w:r>
          </w:p>
        </w:tc>
      </w:tr>
    </w:tbl>
    <w:p>
      <w:pPr>
        <w:rPr>
          <w:vanish/>
        </w:rPr>
      </w:pPr>
      <w:r>
        <w:t/>
      </w:r>
    </w:p>
    <w:p>
      <w:pPr>
        <w:pStyle w:val="detailIndent"/>
      </w:pPr>
      <w:r>
        <w:t>(趣旨)</w:t>
      </w:r>
    </w:p>
    <w:p>
      <w:pPr>
        <w:pStyle w:val="sec0"/>
      </w:pPr>
      <w:r>
        <w:t>第1条　岐阜大学(以下「本学」という。)における外国人研究者の受入れについては，学術研究の国際交流を推進することを目的とし，外国人研究者の受入れに関し必要な事項は，この規程の定めるところによる。</w:t>
      </w:r>
    </w:p>
    <w:p>
      <w:pPr>
        <w:pStyle w:val="detailIndent"/>
      </w:pPr>
      <w:r>
        <w:t>(定義)</w:t>
      </w:r>
    </w:p>
    <w:p>
      <w:pPr>
        <w:pStyle w:val="sec0"/>
      </w:pPr>
      <w:r>
        <w:t>第2条　この規程における用語の意義は，次のとおりとする。</w:t>
      </w:r>
    </w:p>
    <w:p>
      <w:pPr>
        <w:pStyle w:val="sec1"/>
      </w:pPr>
      <w:r>
        <w:t>一　「外国人研究者」とは，本学において，本学の専任の大学教員と共同して研究に従事する外国人(日本国籍を有しない者をいう。)の研究者をいう。</w:t>
      </w:r>
    </w:p>
    <w:p>
      <w:pPr>
        <w:pStyle w:val="sec1"/>
      </w:pPr>
      <w:r>
        <w:t>二　「部局等」とは，学部，学環，研究科，高等研究院，糖鎖生命コア研究所，保健管理センター，医学部附属病院，学術研究・産学官連携推進本部及びグローカル推進機構をいう。</w:t>
      </w:r>
    </w:p>
    <w:p>
      <w:pPr>
        <w:pStyle w:val="sec1"/>
      </w:pPr>
      <w:r>
        <w:t>三　「部局等の長」とは，前号に規定する部局等の長をいう。</w:t>
      </w:r>
    </w:p>
    <w:p>
      <w:pPr>
        <w:pStyle w:val="detailIndent"/>
      </w:pPr>
      <w:r>
        <w:t>(資格)</w:t>
      </w:r>
    </w:p>
    <w:p>
      <w:pPr>
        <w:pStyle w:val="sec0"/>
      </w:pPr>
      <w:r>
        <w:t>第3条　受け入れることのできる外国人研究者は，次の各号に該当する者(東海国立大学機構外国人客員教員及びG30教員に関する規程（令和2年度機構規程第59号）第2条の規定に基づく者を除く。)とする。</w:t>
      </w:r>
    </w:p>
    <w:p>
      <w:pPr>
        <w:pStyle w:val="sec1"/>
      </w:pPr>
      <w:r>
        <w:t>一　本学の専任の大学教員と同等以上の資格があると認められる者</w:t>
      </w:r>
    </w:p>
    <w:p>
      <w:pPr>
        <w:pStyle w:val="sec1"/>
      </w:pPr>
      <w:r>
        <w:t>二　原則として1月以上にわたり，本学で研究に従事する者</w:t>
      </w:r>
    </w:p>
    <w:p>
      <w:pPr>
        <w:pStyle w:val="detailIndent"/>
      </w:pPr>
      <w:r>
        <w:t>(受入れ)</w:t>
      </w:r>
    </w:p>
    <w:p>
      <w:pPr>
        <w:pStyle w:val="sec0"/>
      </w:pPr>
      <w:r>
        <w:t>第4条　部局等の長は，外国人研究者を受け入れようとするときは，当該部局等の教授会（研究科にあってはその研究科委員会，高等研究院，糖鎖生命コア研究所，保健管理センター及びグローカル推進機構にあってはその運営委員会，医学部附属病院にあってはその科長会議，学術研究・産学官連携推進本部にあってはその運営会議)の意見を聴くものとする。</w:t>
      </w:r>
    </w:p>
    <w:p>
      <w:pPr>
        <w:pStyle w:val="sec0"/>
      </w:pPr>
      <w:r>
        <w:t>2　外国人研究者の受入れの決定は，部局等の長の専決とする。</w:t>
      </w:r>
    </w:p>
    <w:p>
      <w:pPr>
        <w:pStyle w:val="sec0"/>
      </w:pPr>
      <w:r>
        <w:t>3　部局等の長は，外国人研究者の受入れを行ったときは，速やかに外国人研究者調書(別紙様式第1号)を作成するとともに，外国人研究者から健康診断書(別紙様式第2号)を提出させなければならない。</w:t>
      </w:r>
    </w:p>
    <w:p>
      <w:pPr>
        <w:pStyle w:val="sec0"/>
      </w:pPr>
      <w:r>
        <w:t>4　部局等の長は，前項の外国人研究者調書に健康診断書の写しを添えて，国際を担当する副学長(以下「担当副学長」という。)に報告しなければならない。</w:t>
      </w:r>
    </w:p>
    <w:p>
      <w:pPr>
        <w:pStyle w:val="sec0"/>
      </w:pPr>
      <w:r>
        <w:t>5　担当副学長は，健康診断書の写しを保健管理センター長に送付するものとする。</w:t>
      </w:r>
    </w:p>
    <w:p>
      <w:pPr>
        <w:pStyle w:val="detailIndent"/>
      </w:pPr>
      <w:r>
        <w:t>(契約書の締結)</w:t>
      </w:r>
    </w:p>
    <w:p>
      <w:pPr>
        <w:pStyle w:val="sec0"/>
      </w:pPr>
      <w:r>
        <w:t>第5条　学長は，前条の規定により受け入れる当該外国人研究者と別紙様式第3号による契約を締結するものとする。</w:t>
      </w:r>
    </w:p>
    <w:p>
      <w:pPr>
        <w:pStyle w:val="detailIndent"/>
      </w:pPr>
      <w:r>
        <w:t>(受入れ期間)</w:t>
      </w:r>
    </w:p>
    <w:p>
      <w:pPr>
        <w:pStyle w:val="sec0"/>
      </w:pPr>
      <w:r>
        <w:t>第6条　外国人研究者の受入れの期間は，原則として受入れを許可した日から1年以内とする。ただし，必要がある場合は，前2条の規定による手続を経て，その期間を延長することができる。</w:t>
      </w:r>
    </w:p>
    <w:p>
      <w:pPr>
        <w:pStyle w:val="detailIndent"/>
      </w:pPr>
      <w:r>
        <w:t>(研究の従事)</w:t>
      </w:r>
    </w:p>
    <w:p>
      <w:pPr>
        <w:pStyle w:val="sec0"/>
      </w:pPr>
      <w:r>
        <w:t>第7条　外国人研究者は，第5条に規定する契約書の定めるところにより研究に従事するものとする。</w:t>
      </w:r>
    </w:p>
    <w:p>
      <w:pPr>
        <w:pStyle w:val="detailIndent"/>
      </w:pPr>
      <w:r>
        <w:t>(施設等の利用)</w:t>
      </w:r>
    </w:p>
    <w:p>
      <w:pPr>
        <w:pStyle w:val="sec0"/>
      </w:pPr>
      <w:r>
        <w:t>第8条　外国人研究者は，本学の大学教員と共同して研究を遂行するために必要な本学の施設，設備等を利用することができる。</w:t>
      </w:r>
    </w:p>
    <w:p>
      <w:pPr>
        <w:pStyle w:val="detailIndent"/>
      </w:pPr>
      <w:r>
        <w:t>(共同研究報告書の提出)</w:t>
      </w:r>
    </w:p>
    <w:p>
      <w:pPr>
        <w:pStyle w:val="sec0"/>
      </w:pPr>
      <w:r>
        <w:t>第9条　外国人研究者を受け入れ，共同研究を行った大学教員は，外国人研究者の受入期間終了後1月以内に，別紙様式第4号による共同研究報告書を提出するものとする。</w:t>
      </w:r>
    </w:p>
    <w:p>
      <w:pPr>
        <w:pStyle w:val="detailIndent"/>
      </w:pPr>
      <w:r>
        <w:t>(雑則)</w:t>
      </w:r>
    </w:p>
    <w:p>
      <w:pPr>
        <w:pStyle w:val="sec0"/>
      </w:pPr>
      <w:r>
        <w:t>第10条　この規程に定めるもののほか，外国人研究者の受入れに関し必要な事項は，別に定める。</w:t>
      </w:r>
    </w:p>
    <w:p>
      <w:pPr>
        <w:pStyle w:val="sec32"/>
      </w:pPr>
      <w:r>
        <w:t>附　則</w:t>
      </w:r>
    </w:p>
    <w:p>
      <w:pPr>
        <w:pStyle w:val="sec0"/>
      </w:pPr>
      <w:r>
        <w:t>1　この規程は，平成19年10月1日から施行する。</w:t>
      </w:r>
    </w:p>
    <w:p>
      <w:pPr>
        <w:pStyle w:val="sec0"/>
      </w:pPr>
      <w:r>
        <w:t>2　岐阜大学外国人研究者受入れ規則(平成16年岐阜大学規則第60号)は，廃止する。</w:t>
      </w:r>
    </w:p>
    <w:p>
      <w:pPr>
        <w:pStyle w:val="sec32"/>
      </w:pPr>
      <w:r>
        <w:t>附　則(平成20年4月1日)</w:t>
      </w:r>
    </w:p>
    <w:p>
      <w:pPr>
        <w:pStyle w:val="stepIndent1"/>
      </w:pPr>
      <w:r>
        <w:t>この規程は，平成20年4月1日から施行する。</w:t>
      </w:r>
    </w:p>
    <w:p>
      <w:pPr>
        <w:pStyle w:val="sec32"/>
      </w:pPr>
      <w:r>
        <w:t>附　則(平成22年4月1日)</w:t>
      </w:r>
    </w:p>
    <w:p>
      <w:pPr>
        <w:pStyle w:val="stepIndent1"/>
      </w:pPr>
      <w:r>
        <w:t>この規程は，平成22年4月1日から施行する。</w:t>
      </w:r>
    </w:p>
    <w:p>
      <w:pPr>
        <w:pStyle w:val="sec32"/>
      </w:pPr>
      <w:r>
        <w:t>附　則(平成23年1月1日)</w:t>
      </w:r>
    </w:p>
    <w:p>
      <w:pPr>
        <w:pStyle w:val="stepIndent1"/>
      </w:pPr>
      <w:r>
        <w:t>この規程は，平成23年1月1日から施行する。</w:t>
      </w:r>
    </w:p>
    <w:p>
      <w:pPr>
        <w:pStyle w:val="sec32"/>
      </w:pPr>
      <w:r>
        <w:t>附　則(平成24年8月1日)</w:t>
      </w:r>
    </w:p>
    <w:p>
      <w:pPr>
        <w:pStyle w:val="stepIndent1"/>
      </w:pPr>
      <w:r>
        <w:t>この規程は，平成24年8月1日から施行する。</w:t>
      </w:r>
    </w:p>
    <w:p>
      <w:pPr>
        <w:pStyle w:val="sec32"/>
      </w:pPr>
      <w:r>
        <w:t>附　則(平成27年4月1日)</w:t>
      </w:r>
    </w:p>
    <w:p>
      <w:pPr>
        <w:pStyle w:val="stepIndent1"/>
      </w:pPr>
      <w:r>
        <w:t>この規程は，平成27年4月1日から施行する。</w:t>
      </w:r>
    </w:p>
    <w:p>
      <w:pPr>
        <w:pStyle w:val="sec32"/>
      </w:pPr>
      <w:r>
        <w:t>附　則(平成27年6月1日)</w:t>
      </w:r>
    </w:p>
    <w:p>
      <w:pPr>
        <w:pStyle w:val="stepIndent1"/>
      </w:pPr>
      <w:r>
        <w:t>この規程は，平成27年6月1日から施行する。</w:t>
      </w:r>
    </w:p>
    <w:p>
      <w:pPr>
        <w:pStyle w:val="sec32"/>
      </w:pPr>
      <w:r>
        <w:t>附　則(平成29年4月1日)</w:t>
      </w:r>
    </w:p>
    <w:p>
      <w:pPr>
        <w:pStyle w:val="stepIndent1"/>
      </w:pPr>
      <w:r>
        <w:t>この規程は，平成29年4月1日から施行する。</w:t>
      </w:r>
    </w:p>
    <w:p>
      <w:pPr>
        <w:pStyle w:val="sec32"/>
      </w:pPr>
      <w:r>
        <w:t>附　則(平成30年4月1日)</w:t>
      </w:r>
    </w:p>
    <w:p>
      <w:pPr>
        <w:pStyle w:val="stepIndent1"/>
      </w:pPr>
      <w:r>
        <w:t>この規程は，平成30年4月1日から施行する。</w:t>
      </w:r>
    </w:p>
    <w:p>
      <w:pPr>
        <w:pStyle w:val="sec32"/>
      </w:pPr>
      <w:r>
        <w:t>附　則(平成31年4月1日岐阜大学規程第61号)</w:t>
      </w:r>
    </w:p>
    <w:p>
      <w:pPr>
        <w:pStyle w:val="stepIndent1"/>
      </w:pPr>
      <w:r>
        <w:t>この規程は，平成31年4月1日から施行する。</w:t>
      </w:r>
    </w:p>
    <w:p>
      <w:pPr>
        <w:pStyle w:val="sec32"/>
      </w:pPr>
      <w:r>
        <w:t>附　則(令和2年4月1日岐大規程第49号)</w:t>
      </w:r>
    </w:p>
    <w:p>
      <w:pPr>
        <w:pStyle w:val="stepIndent1"/>
      </w:pPr>
      <w:r>
        <w:t>この規程は，令和2年4月1日から施行する。</w:t>
      </w:r>
    </w:p>
    <w:p>
      <w:pPr>
        <w:pStyle w:val="sec32"/>
      </w:pPr>
      <w:r>
        <w:t>附　則(令和3年1月1日岐大規程第121号)</w:t>
      </w:r>
    </w:p>
    <w:p>
      <w:pPr>
        <w:pStyle w:val="stepIndent1"/>
      </w:pPr>
      <w:r>
        <w:t>この規程は，令和3年1月1日から施行する。</w:t>
      </w:r>
    </w:p>
    <w:p>
      <w:pPr>
        <w:pStyle w:val="sec32"/>
      </w:pPr>
      <w:r>
        <w:t>附　則(令和3年3月19日岐大規程第145号)</w:t>
      </w:r>
    </w:p>
    <w:p>
      <w:pPr>
        <w:pStyle w:val="stepIndent1"/>
      </w:pPr>
      <w:r>
        <w:t>この規程は，令和3年4月1日から施行する。</w:t>
      </w:r>
    </w:p>
    <w:p>
      <w:pPr>
        <w:pStyle w:val="sec32"/>
      </w:pPr>
      <w:r>
        <w:t>附　則(令和4年3月28日岐大規程第66号)</w:t>
      </w:r>
    </w:p>
    <w:p>
      <w:pPr>
        <w:pStyle w:val="stepIndent1"/>
      </w:pPr>
      <w:r>
        <w:t>この規程は，令和4年4月1日から施行する。</w:t>
      </w:r>
    </w:p>
    <w:p>
      <w:pPr>
        <w:pStyle w:val="sec32"/>
      </w:pPr>
      <w:r>
        <w:t>附　則(令和5年11月30日岐大規程第19号)</w:t>
      </w:r>
    </w:p>
    <w:p>
      <w:pPr>
        <w:pStyle w:val="stepIndent1"/>
      </w:pPr>
      <w:r>
        <w:t>この規程は，令和5年12月1日から施行する。</w:t>
      </w:r>
    </w:p>
    <w:p>
      <w:pPr>
        <w:pStyle w:val="sec32"/>
      </w:pPr>
      <w:r>
        <w:t>附　則(令和6年3月28日岐大規則第60号)</w:t>
      </w:r>
    </w:p>
    <w:p>
      <w:pPr>
        <w:pStyle w:val="stepIndent1"/>
      </w:pPr>
      <w:r>
        <w:t>この規程は，令和6年4月1日から施行する。</w:t>
      </w:r>
    </w:p>
    <w:p>
      <w:pPr>
        <w:spacing w:before="240" w:after="240"/>
      </w:pPr>
      <w:r>
        <w:t>別紙様式第1号(第4条第2項関係)</w:t>
      </w:r>
    </w:p>
    <w:p>
      <w:pPr>
        <w:pStyle w:val="detailIndent"/>
      </w:pPr>
      <w:r>
        <w:t>外国人研究者調書</w:t>
      </w:r>
    </w:p>
    <w:p>
      <w:pPr>
        <w:pStyle w:val="detailIndent"/>
      </w:pPr>
      <w:r>
        <w:t>[別紙参照]</w:t>
      </w:r>
    </w:p>
    <w:p>
      <w:pPr>
        <w:spacing w:before="240" w:after="240"/>
      </w:pPr>
      <w:r>
        <w:t>別紙様式第2号(第4条第3項関係)</w:t>
      </w:r>
    </w:p>
    <w:p>
      <w:pPr>
        <w:pStyle w:val="detailIndent"/>
      </w:pPr>
      <w:r>
        <w:t>健康診断書</w:t>
      </w:r>
    </w:p>
    <w:p>
      <w:pPr>
        <w:pStyle w:val="detailIndent"/>
      </w:pPr>
      <w:r>
        <w:t>[別紙参照]</w:t>
      </w:r>
    </w:p>
    <w:p>
      <w:pPr>
        <w:spacing w:before="240" w:after="240"/>
      </w:pPr>
      <w:r>
        <w:t>別紙様式第3号(第5条関係)</w:t>
      </w:r>
    </w:p>
    <w:p>
      <w:pPr>
        <w:pStyle w:val="detailIndent"/>
      </w:pPr>
      <w:r>
        <w:t>契約書</w:t>
      </w:r>
    </w:p>
    <w:p>
      <w:pPr>
        <w:pStyle w:val="detailIndent"/>
      </w:pPr>
      <w:r>
        <w:t>[別紙参照]</w:t>
      </w:r>
    </w:p>
    <w:p>
      <w:pPr>
        <w:spacing w:before="240" w:after="240"/>
      </w:pPr>
      <w:r>
        <w:t>別紙様式第4号(第9条関係)</w:t>
      </w:r>
    </w:p>
    <w:p>
      <w:pPr>
        <w:pStyle w:val="detailIndent"/>
      </w:pPr>
      <w:r>
        <w:t>共同研究報告書</w:t>
      </w:r>
    </w:p>
    <w:p>
      <w:pPr>
        <w:pStyle w:val="detailIndent"/>
      </w:pPr>
      <w:r>
        <w:t>[別紙参照]</w:t>
      </w:r>
    </w:p>
    <w:sectPr w:rsidR="00C72129" w:rsidRPr="00581C7C" w:rsidSect="005C7ACE">
      <w:pgSz w:w="11906" w:h="16838" w:code="9"/>
      <w:pgMar w:top="1701" w:right="1418" w:bottom="1701" w:left="1418" w:header="851" w:footer="992" w:gutter="0"/>
      <w:cols w:space="425"/>
      <w:docGrid w:type="linesAndChars"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ADA9" w14:textId="77777777" w:rsidR="0017625F" w:rsidRDefault="0017625F" w:rsidP="00E35AAA">
      <w:r>
        <w:separator/>
      </w:r>
    </w:p>
  </w:endnote>
  <w:endnote w:type="continuationSeparator" w:id="0">
    <w:p w14:paraId="56718337" w14:textId="77777777" w:rsidR="0017625F" w:rsidRDefault="0017625F"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65BB" w14:textId="77777777" w:rsidR="0017625F" w:rsidRDefault="0017625F" w:rsidP="00E35AAA">
      <w:r>
        <w:separator/>
      </w:r>
    </w:p>
  </w:footnote>
  <w:footnote w:type="continuationSeparator" w:id="0">
    <w:p w14:paraId="6B23AD6A" w14:textId="77777777" w:rsidR="0017625F" w:rsidRDefault="0017625F"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AAA"/>
    <w:rsid w:val="000B0507"/>
    <w:rsid w:val="0017625F"/>
    <w:rsid w:val="00221ECC"/>
    <w:rsid w:val="002D3B88"/>
    <w:rsid w:val="002E7AA8"/>
    <w:rsid w:val="004834AB"/>
    <w:rsid w:val="00581C7C"/>
    <w:rsid w:val="0058547E"/>
    <w:rsid w:val="005C7ACE"/>
    <w:rsid w:val="005D606E"/>
    <w:rsid w:val="00633711"/>
    <w:rsid w:val="006850D8"/>
    <w:rsid w:val="009540E6"/>
    <w:rsid w:val="009C4EC9"/>
    <w:rsid w:val="00AA5513"/>
    <w:rsid w:val="00AA7083"/>
    <w:rsid w:val="00C06999"/>
    <w:rsid w:val="00C72129"/>
    <w:rsid w:val="00D5576A"/>
    <w:rsid w:val="00D72C5A"/>
    <w:rsid w:val="00DD3999"/>
    <w:rsid w:val="00E35AAA"/>
    <w:rsid w:val="00E62AB6"/>
    <w:rsid w:val="00EE586C"/>
    <w:rsid w:val="00FB6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EE66C9"/>
  <w14:defaultImageDpi w14:val="0"/>
  <w15:docId w15:val="{CCBF27E2-3B21-43FC-B5D6-7C94891F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94E"/>
    <w:pPr>
      <w:wordWrap w:val="0"/>
    </w:pPr>
    <w:rPr>
      <w:rFonts w:ascii="ＭＳ 明朝" w:eastAsia="ＭＳ 明朝" w:hAnsi="ＭＳ 明朝" w:cs="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rsid w:val="00FB694E"/>
    <w:pPr>
      <w:spacing w:line="360" w:lineRule="atLeast"/>
      <w:ind w:left="120"/>
    </w:pPr>
    <w:rPr>
      <w:sz w:val="16"/>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sid w:val="00FB694E"/>
    <w:rPr>
      <w:rFonts w:cs="Times New Roman"/>
      <w:b/>
      <w:bCs/>
      <w:sz w:val="16"/>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2014-06-10T08:51:00Z</dcterms:created>
  <dcterms:modified xsi:type="dcterms:W3CDTF">2023-10-12T04:43:00Z</dcterms:modified>
</cp:coreProperties>
</file>